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C4" w:rsidRPr="00301EBC" w:rsidRDefault="00B95EC4" w:rsidP="00B95EC4">
      <w:pPr>
        <w:jc w:val="center"/>
        <w:rPr>
          <w:b/>
          <w:sz w:val="28"/>
          <w:szCs w:val="28"/>
        </w:rPr>
      </w:pPr>
      <w:r w:rsidRPr="00301EBC">
        <w:rPr>
          <w:b/>
          <w:sz w:val="28"/>
          <w:szCs w:val="28"/>
        </w:rPr>
        <w:t>Can interactive visualization tools engage and support pre-university students in exploring non-trivial mathematical concepts?</w:t>
      </w:r>
    </w:p>
    <w:p w:rsidR="00836DB5" w:rsidRPr="00301EBC" w:rsidRDefault="002D4A7C" w:rsidP="00B95EC4">
      <w:pPr>
        <w:jc w:val="center"/>
        <w:rPr>
          <w:sz w:val="24"/>
          <w:szCs w:val="24"/>
        </w:rPr>
      </w:pPr>
      <w:r w:rsidRPr="00301EBC">
        <w:rPr>
          <w:sz w:val="24"/>
          <w:szCs w:val="24"/>
        </w:rPr>
        <w:t>( Hai-Ning Liang &amp; Kamran Sedig)</w:t>
      </w:r>
    </w:p>
    <w:p w:rsidR="00836DB5" w:rsidRPr="00836A2F" w:rsidRDefault="001140B8" w:rsidP="00301EBC">
      <w:pPr>
        <w:spacing w:line="360" w:lineRule="auto"/>
        <w:jc w:val="both"/>
        <w:rPr>
          <w:sz w:val="24"/>
          <w:szCs w:val="24"/>
        </w:rPr>
      </w:pPr>
      <w:r w:rsidRPr="00836A2F">
        <w:rPr>
          <w:sz w:val="24"/>
          <w:szCs w:val="24"/>
        </w:rPr>
        <w:t xml:space="preserve">The authors make the observation that many students have difficulty engaging with mathematical concepts and that a new class of learning tools, namely visualisation tools may have a role in promoting higher levels of engagement with mathematical comprehensions. The paper makes the argument that </w:t>
      </w:r>
      <w:r w:rsidR="00434E17" w:rsidRPr="00836A2F">
        <w:rPr>
          <w:sz w:val="24"/>
          <w:szCs w:val="24"/>
        </w:rPr>
        <w:t>a lot of the evidence about the effectiveness of these tools appears to be suggestive rather than based on empirical evaluations, the authors make the assertion that they will attempt to fill this gap and provide empirical evidence that all students, regardless of their grade level and other differences (e.g., cognitive and language skills), can benefit from interacting with the visualization tool.</w:t>
      </w:r>
    </w:p>
    <w:p w:rsidR="00301EBC" w:rsidRPr="00836A2F" w:rsidRDefault="00301EBC" w:rsidP="00301EBC">
      <w:pPr>
        <w:spacing w:line="360" w:lineRule="auto"/>
        <w:jc w:val="both"/>
        <w:rPr>
          <w:sz w:val="24"/>
          <w:szCs w:val="24"/>
        </w:rPr>
      </w:pPr>
      <w:r w:rsidRPr="00836A2F">
        <w:rPr>
          <w:sz w:val="24"/>
          <w:szCs w:val="24"/>
        </w:rPr>
        <w:t xml:space="preserve">My interest in this article was prompted by the nature of the study, as it has strong similarities to </w:t>
      </w:r>
      <w:r w:rsidR="001F3C65" w:rsidRPr="00836A2F">
        <w:rPr>
          <w:sz w:val="24"/>
          <w:szCs w:val="24"/>
        </w:rPr>
        <w:t xml:space="preserve">part of </w:t>
      </w:r>
      <w:r w:rsidRPr="00836A2F">
        <w:rPr>
          <w:sz w:val="24"/>
          <w:szCs w:val="24"/>
        </w:rPr>
        <w:t xml:space="preserve">my own research project, “namely can a study assess if a visualization tool </w:t>
      </w:r>
      <w:r w:rsidR="00FF18A6" w:rsidRPr="00836A2F">
        <w:rPr>
          <w:sz w:val="24"/>
          <w:szCs w:val="24"/>
        </w:rPr>
        <w:t>designed by</w:t>
      </w:r>
      <w:r w:rsidRPr="00836A2F">
        <w:rPr>
          <w:sz w:val="24"/>
          <w:szCs w:val="24"/>
        </w:rPr>
        <w:t xml:space="preserve"> research from information visualization and human–computer interaction, </w:t>
      </w:r>
      <w:r w:rsidR="00FF18A6" w:rsidRPr="00836A2F">
        <w:rPr>
          <w:sz w:val="24"/>
          <w:szCs w:val="24"/>
        </w:rPr>
        <w:t>help pre</w:t>
      </w:r>
      <w:r w:rsidRPr="00836A2F">
        <w:rPr>
          <w:sz w:val="24"/>
          <w:szCs w:val="24"/>
        </w:rPr>
        <w:t>-university students in their exploration and learning mathematical concepts”.</w:t>
      </w:r>
    </w:p>
    <w:p w:rsidR="00582021" w:rsidRPr="00836A2F" w:rsidRDefault="00301EBC" w:rsidP="001E705C">
      <w:pPr>
        <w:spacing w:line="360" w:lineRule="auto"/>
        <w:jc w:val="both"/>
        <w:rPr>
          <w:sz w:val="24"/>
          <w:szCs w:val="24"/>
        </w:rPr>
      </w:pPr>
      <w:r w:rsidRPr="00836A2F">
        <w:rPr>
          <w:sz w:val="24"/>
          <w:szCs w:val="24"/>
        </w:rPr>
        <w:t xml:space="preserve">The </w:t>
      </w:r>
      <w:r w:rsidR="001E705C" w:rsidRPr="00836A2F">
        <w:rPr>
          <w:sz w:val="24"/>
          <w:szCs w:val="24"/>
        </w:rPr>
        <w:t xml:space="preserve">results of this study show that visualization tools can “effectively engage students and support their investigation of mathematical concepts, only if the tool is designed such that it can </w:t>
      </w:r>
      <w:r w:rsidR="001A3B03" w:rsidRPr="00836A2F">
        <w:rPr>
          <w:sz w:val="24"/>
          <w:szCs w:val="24"/>
        </w:rPr>
        <w:t xml:space="preserve">satisfy </w:t>
      </w:r>
      <w:r w:rsidR="001E705C" w:rsidRPr="00836A2F">
        <w:rPr>
          <w:sz w:val="24"/>
          <w:szCs w:val="24"/>
        </w:rPr>
        <w:t xml:space="preserve">the diverse needs of these </w:t>
      </w:r>
      <w:r w:rsidR="008F5006" w:rsidRPr="00836A2F">
        <w:rPr>
          <w:sz w:val="24"/>
          <w:szCs w:val="24"/>
        </w:rPr>
        <w:t>students”; this</w:t>
      </w:r>
      <w:r w:rsidR="00862A57" w:rsidRPr="00836A2F">
        <w:rPr>
          <w:sz w:val="24"/>
          <w:szCs w:val="24"/>
        </w:rPr>
        <w:t xml:space="preserve"> result </w:t>
      </w:r>
      <w:r w:rsidR="001E705C" w:rsidRPr="00836A2F">
        <w:rPr>
          <w:sz w:val="24"/>
          <w:szCs w:val="24"/>
        </w:rPr>
        <w:t>bound me to take this article seriously as it could help in the justification of my own research position.</w:t>
      </w:r>
    </w:p>
    <w:p w:rsidR="00836DB5" w:rsidRPr="00836A2F" w:rsidRDefault="001E705C" w:rsidP="00E66B38">
      <w:pPr>
        <w:spacing w:line="360" w:lineRule="auto"/>
        <w:jc w:val="both"/>
        <w:rPr>
          <w:sz w:val="24"/>
          <w:szCs w:val="24"/>
        </w:rPr>
      </w:pPr>
      <w:r w:rsidRPr="00836A2F">
        <w:rPr>
          <w:sz w:val="24"/>
          <w:szCs w:val="24"/>
        </w:rPr>
        <w:t xml:space="preserve"> </w:t>
      </w:r>
      <w:r w:rsidR="00FF18A6" w:rsidRPr="00836A2F">
        <w:rPr>
          <w:sz w:val="24"/>
          <w:szCs w:val="24"/>
        </w:rPr>
        <w:t>This paper</w:t>
      </w:r>
      <w:r w:rsidR="00582021" w:rsidRPr="00836A2F">
        <w:rPr>
          <w:sz w:val="24"/>
          <w:szCs w:val="24"/>
        </w:rPr>
        <w:t xml:space="preserve"> investigate</w:t>
      </w:r>
      <w:r w:rsidR="00E66B38" w:rsidRPr="00836A2F">
        <w:rPr>
          <w:sz w:val="24"/>
          <w:szCs w:val="24"/>
        </w:rPr>
        <w:t>s</w:t>
      </w:r>
      <w:r w:rsidR="00582021" w:rsidRPr="00836A2F">
        <w:rPr>
          <w:sz w:val="24"/>
          <w:szCs w:val="24"/>
        </w:rPr>
        <w:t xml:space="preserve"> how</w:t>
      </w:r>
      <w:r w:rsidR="00E66B38" w:rsidRPr="00836A2F">
        <w:rPr>
          <w:sz w:val="24"/>
          <w:szCs w:val="24"/>
        </w:rPr>
        <w:t xml:space="preserve"> a</w:t>
      </w:r>
      <w:r w:rsidR="00582021" w:rsidRPr="00836A2F">
        <w:rPr>
          <w:sz w:val="24"/>
          <w:szCs w:val="24"/>
        </w:rPr>
        <w:t xml:space="preserve"> wide a range of students with varying language and learning abilities, and with diverse attitudes and preferences towards mathematics can become engaged with math</w:t>
      </w:r>
      <w:r w:rsidR="00E66B38" w:rsidRPr="00836A2F">
        <w:rPr>
          <w:sz w:val="24"/>
          <w:szCs w:val="24"/>
        </w:rPr>
        <w:t xml:space="preserve">s by </w:t>
      </w:r>
      <w:r w:rsidR="00FF18A6" w:rsidRPr="00836A2F">
        <w:rPr>
          <w:sz w:val="24"/>
          <w:szCs w:val="24"/>
        </w:rPr>
        <w:t>employing a</w:t>
      </w:r>
      <w:r w:rsidR="00582021" w:rsidRPr="00836A2F">
        <w:rPr>
          <w:sz w:val="24"/>
          <w:szCs w:val="24"/>
        </w:rPr>
        <w:t xml:space="preserve"> well-designed visualization tool.</w:t>
      </w:r>
      <w:r w:rsidR="00E66B38" w:rsidRPr="00836A2F">
        <w:rPr>
          <w:sz w:val="24"/>
          <w:szCs w:val="24"/>
        </w:rPr>
        <w:t xml:space="preserve"> The authors make the point that prior to this study, that there was a lack of empirical research about the usefulness and effectiveness of visualization tools in engaging students in their exploration of non-trivial mathematical concepts, by employing rigorous research techniques throughout this paper the authors hope to overcome this.</w:t>
      </w:r>
    </w:p>
    <w:p w:rsidR="00CA4233" w:rsidRPr="00836A2F" w:rsidRDefault="00B1252A" w:rsidP="0030525E">
      <w:pPr>
        <w:spacing w:line="360" w:lineRule="auto"/>
        <w:jc w:val="both"/>
        <w:rPr>
          <w:sz w:val="24"/>
          <w:szCs w:val="24"/>
        </w:rPr>
      </w:pPr>
      <w:r w:rsidRPr="00836A2F">
        <w:rPr>
          <w:sz w:val="24"/>
          <w:szCs w:val="24"/>
        </w:rPr>
        <w:t xml:space="preserve">The paper provides a good definition of Interactive visualization tools, “external </w:t>
      </w:r>
      <w:r w:rsidR="00FF18A6" w:rsidRPr="00836A2F">
        <w:rPr>
          <w:sz w:val="24"/>
          <w:szCs w:val="24"/>
        </w:rPr>
        <w:t>artefacts</w:t>
      </w:r>
      <w:r w:rsidRPr="00836A2F">
        <w:rPr>
          <w:sz w:val="24"/>
          <w:szCs w:val="24"/>
        </w:rPr>
        <w:t xml:space="preserve"> whose primary aim is to support and enhance users’ exploratory, interpretational, and </w:t>
      </w:r>
      <w:r w:rsidRPr="00836A2F">
        <w:rPr>
          <w:sz w:val="24"/>
          <w:szCs w:val="24"/>
        </w:rPr>
        <w:lastRenderedPageBreak/>
        <w:t>sense-making processes involving visually-represented information (Card, Mackinlay, &amp; Shneiderman, 1999</w:t>
      </w:r>
      <w:r w:rsidR="00FF18A6" w:rsidRPr="00836A2F">
        <w:rPr>
          <w:sz w:val="24"/>
          <w:szCs w:val="24"/>
        </w:rPr>
        <w:t>)</w:t>
      </w:r>
      <w:r w:rsidR="00DE3557" w:rsidRPr="00836A2F">
        <w:rPr>
          <w:sz w:val="24"/>
          <w:szCs w:val="24"/>
        </w:rPr>
        <w:t>, these primarily adhere to a constructivist epistemology and their main features; “ (1) they maintain and display information in the form of visual representations or visualizations; and (2) they allow students to operate upon or interact with these visualizations via a human–computer interface”</w:t>
      </w:r>
      <w:r w:rsidR="00CA4233" w:rsidRPr="00836A2F">
        <w:rPr>
          <w:sz w:val="24"/>
          <w:szCs w:val="24"/>
        </w:rPr>
        <w:t>.</w:t>
      </w:r>
    </w:p>
    <w:p w:rsidR="00B1252A" w:rsidRPr="00836A2F" w:rsidRDefault="00026FE4" w:rsidP="0030525E">
      <w:pPr>
        <w:spacing w:line="360" w:lineRule="auto"/>
        <w:jc w:val="both"/>
        <w:rPr>
          <w:sz w:val="24"/>
          <w:szCs w:val="24"/>
        </w:rPr>
      </w:pPr>
      <w:r w:rsidRPr="00836A2F">
        <w:rPr>
          <w:sz w:val="24"/>
          <w:szCs w:val="24"/>
        </w:rPr>
        <w:t xml:space="preserve">This article explains comprehensively, how tools such as Interactive visualization tools help students learn, especially abstract subjects like Geometry. Section 1.2.2, explains that by </w:t>
      </w:r>
      <w:r w:rsidR="000F5F7D" w:rsidRPr="00836A2F">
        <w:rPr>
          <w:sz w:val="24"/>
          <w:szCs w:val="24"/>
        </w:rPr>
        <w:t xml:space="preserve">permitting </w:t>
      </w:r>
      <w:r w:rsidRPr="00836A2F">
        <w:rPr>
          <w:sz w:val="24"/>
          <w:szCs w:val="24"/>
        </w:rPr>
        <w:t>the student to visually step inside a three dimensional shape this allows for the formation of a stronger ability to visualize abstract structures and relationships. Many students had difficulty forming an understanding of these abstract structures when dealing with 2-dimensional objects</w:t>
      </w:r>
      <w:r w:rsidR="00FF326F" w:rsidRPr="00836A2F">
        <w:rPr>
          <w:sz w:val="24"/>
          <w:szCs w:val="24"/>
        </w:rPr>
        <w:t xml:space="preserve">, the observation is made that </w:t>
      </w:r>
      <w:r w:rsidR="0030525E" w:rsidRPr="00836A2F">
        <w:rPr>
          <w:sz w:val="24"/>
          <w:szCs w:val="24"/>
        </w:rPr>
        <w:t>“younger students might particularly face greater challenges because their visualization and cognitive capabilities are still largely in an early formative stage”.</w:t>
      </w:r>
      <w:r w:rsidR="000F5F7D" w:rsidRPr="00836A2F">
        <w:rPr>
          <w:sz w:val="24"/>
          <w:szCs w:val="24"/>
        </w:rPr>
        <w:t xml:space="preserve">  The authors build on this advantage of Interactive visualization tools (IVT’s), by explaining that “for learning to take place, students need to be actively engaged with the explored concepts or objects—whether abstract or concrete. The more engaged students are with these objects, the better the learning outcome one can expect. Visualizations are intended to be concrete means which allow students to explore more difficult mathematical concepts.”</w:t>
      </w:r>
    </w:p>
    <w:p w:rsidR="00CA4233" w:rsidRPr="00836A2F" w:rsidRDefault="00391E96" w:rsidP="0030525E">
      <w:pPr>
        <w:spacing w:line="360" w:lineRule="auto"/>
        <w:jc w:val="both"/>
        <w:rPr>
          <w:sz w:val="24"/>
          <w:szCs w:val="24"/>
        </w:rPr>
      </w:pPr>
      <w:r w:rsidRPr="00836A2F">
        <w:rPr>
          <w:sz w:val="24"/>
          <w:szCs w:val="24"/>
        </w:rPr>
        <w:t xml:space="preserve">The article explains the concept of </w:t>
      </w:r>
      <w:r w:rsidR="00710541" w:rsidRPr="00836A2F">
        <w:rPr>
          <w:sz w:val="24"/>
          <w:szCs w:val="24"/>
        </w:rPr>
        <w:t>metamorphosing;</w:t>
      </w:r>
      <w:r w:rsidRPr="00836A2F">
        <w:rPr>
          <w:sz w:val="24"/>
          <w:szCs w:val="24"/>
        </w:rPr>
        <w:t xml:space="preserve"> this hypothesis has great significance in the teaching of abstract mathematical concepts</w:t>
      </w:r>
      <w:r w:rsidR="00710541" w:rsidRPr="00836A2F">
        <w:rPr>
          <w:sz w:val="24"/>
          <w:szCs w:val="24"/>
        </w:rPr>
        <w:t xml:space="preserve"> </w:t>
      </w:r>
      <w:r w:rsidR="00CA4233" w:rsidRPr="00836A2F">
        <w:rPr>
          <w:sz w:val="24"/>
          <w:szCs w:val="24"/>
        </w:rPr>
        <w:t xml:space="preserve">the following example is given; </w:t>
      </w:r>
    </w:p>
    <w:p w:rsidR="00CA4233" w:rsidRPr="00836A2F" w:rsidRDefault="00CA4233" w:rsidP="0030525E">
      <w:pPr>
        <w:spacing w:line="360" w:lineRule="auto"/>
        <w:jc w:val="both"/>
        <w:rPr>
          <w:sz w:val="24"/>
          <w:szCs w:val="24"/>
        </w:rPr>
      </w:pPr>
      <w:r w:rsidRPr="00836A2F">
        <w:rPr>
          <w:noProof/>
          <w:sz w:val="24"/>
          <w:szCs w:val="24"/>
          <w:lang w:eastAsia="en-IE"/>
        </w:rPr>
        <w:drawing>
          <wp:inline distT="0" distB="0" distL="0" distR="0" wp14:anchorId="15F63326" wp14:editId="2114F69F">
            <wp:extent cx="5731510" cy="1088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088055"/>
                    </a:xfrm>
                    <a:prstGeom prst="rect">
                      <a:avLst/>
                    </a:prstGeom>
                    <a:noFill/>
                    <a:ln>
                      <a:noFill/>
                    </a:ln>
                  </pic:spPr>
                </pic:pic>
              </a:graphicData>
            </a:graphic>
          </wp:inline>
        </w:drawing>
      </w:r>
    </w:p>
    <w:p w:rsidR="00391E96" w:rsidRPr="00836A2F" w:rsidRDefault="00CA4233" w:rsidP="003C3679">
      <w:pPr>
        <w:spacing w:line="360" w:lineRule="auto"/>
        <w:jc w:val="both"/>
        <w:rPr>
          <w:sz w:val="24"/>
          <w:szCs w:val="24"/>
        </w:rPr>
      </w:pPr>
      <w:r w:rsidRPr="00836A2F">
        <w:rPr>
          <w:sz w:val="24"/>
          <w:szCs w:val="24"/>
        </w:rPr>
        <w:t xml:space="preserve"> In Fig. 11. Interactive morphing (L-R): the cube transformed into the cuboctahedron through interactive morphing of the solids.</w:t>
      </w:r>
      <w:r w:rsidR="003C3679" w:rsidRPr="00836A2F">
        <w:rPr>
          <w:sz w:val="24"/>
          <w:szCs w:val="24"/>
        </w:rPr>
        <w:t xml:space="preserve"> Another technique that can help the student conceptualise 3-d objects is the introduction of rocking, to compensate for the lack of depth when displaying a 3-d object on a 2-d </w:t>
      </w:r>
      <w:r w:rsidR="00993271" w:rsidRPr="00836A2F">
        <w:rPr>
          <w:sz w:val="24"/>
          <w:szCs w:val="24"/>
        </w:rPr>
        <w:t>screen,</w:t>
      </w:r>
      <w:r w:rsidR="003C3679" w:rsidRPr="00836A2F">
        <w:rPr>
          <w:sz w:val="24"/>
          <w:szCs w:val="24"/>
        </w:rPr>
        <w:t xml:space="preserve"> </w:t>
      </w:r>
      <w:r w:rsidR="00993271" w:rsidRPr="00836A2F">
        <w:rPr>
          <w:sz w:val="24"/>
          <w:szCs w:val="24"/>
        </w:rPr>
        <w:t>by continuously</w:t>
      </w:r>
      <w:r w:rsidR="003C3679" w:rsidRPr="00836A2F">
        <w:rPr>
          <w:sz w:val="24"/>
          <w:szCs w:val="24"/>
        </w:rPr>
        <w:t xml:space="preserve"> tilting the object back and forth slightly </w:t>
      </w:r>
      <w:r w:rsidR="00993271" w:rsidRPr="00836A2F">
        <w:rPr>
          <w:sz w:val="24"/>
          <w:szCs w:val="24"/>
        </w:rPr>
        <w:t>a ‘rocking’</w:t>
      </w:r>
      <w:r w:rsidR="003C3679" w:rsidRPr="00836A2F">
        <w:rPr>
          <w:sz w:val="24"/>
          <w:szCs w:val="24"/>
        </w:rPr>
        <w:t xml:space="preserve"> movement emphasizes the 3-dimensionality of the object.</w:t>
      </w:r>
    </w:p>
    <w:p w:rsidR="0030525E" w:rsidRPr="00836A2F" w:rsidRDefault="0030525E" w:rsidP="0030525E">
      <w:pPr>
        <w:spacing w:line="360" w:lineRule="auto"/>
        <w:jc w:val="both"/>
        <w:rPr>
          <w:sz w:val="24"/>
          <w:szCs w:val="24"/>
        </w:rPr>
      </w:pPr>
    </w:p>
    <w:p w:rsidR="00CA4233" w:rsidRPr="00836A2F" w:rsidRDefault="00CA4233" w:rsidP="00CA4233">
      <w:pPr>
        <w:spacing w:line="360" w:lineRule="auto"/>
        <w:jc w:val="both"/>
        <w:rPr>
          <w:sz w:val="24"/>
          <w:szCs w:val="24"/>
        </w:rPr>
      </w:pPr>
      <w:r w:rsidRPr="00836A2F">
        <w:rPr>
          <w:sz w:val="24"/>
          <w:szCs w:val="24"/>
        </w:rPr>
        <w:t xml:space="preserve">The use of colour to reinforce visualization and cognitive capabilities is described, “Colour plays an important role in visual communication </w:t>
      </w:r>
      <w:r w:rsidRPr="00842C83">
        <w:rPr>
          <w:sz w:val="24"/>
          <w:szCs w:val="24"/>
          <w:highlight w:val="yellow"/>
        </w:rPr>
        <w:t>(Keller &amp; Keller, 1993; Tufte, 1990; Wilkinson, 1999).</w:t>
      </w:r>
      <w:r w:rsidRPr="00836A2F">
        <w:rPr>
          <w:sz w:val="24"/>
          <w:szCs w:val="24"/>
        </w:rPr>
        <w:t xml:space="preserve"> Colour operates at both perceptual and subconscious levels; hence, its judicious use can enhance the communicative power of visual images. This is another point I will have to be cognizant off in the design of my own artefact. </w:t>
      </w:r>
    </w:p>
    <w:p w:rsidR="003C33FE" w:rsidRPr="00836A2F" w:rsidRDefault="00993271" w:rsidP="001F3C65">
      <w:pPr>
        <w:spacing w:line="360" w:lineRule="auto"/>
        <w:jc w:val="both"/>
        <w:rPr>
          <w:color w:val="000000"/>
          <w:sz w:val="24"/>
          <w:szCs w:val="24"/>
        </w:rPr>
      </w:pPr>
      <w:r w:rsidRPr="00836A2F">
        <w:rPr>
          <w:sz w:val="24"/>
          <w:szCs w:val="24"/>
        </w:rPr>
        <w:t xml:space="preserve">To back up their findings the authors carried out a pre and post-test </w:t>
      </w:r>
      <w:r w:rsidR="008321DA" w:rsidRPr="00836A2F">
        <w:rPr>
          <w:sz w:val="24"/>
          <w:szCs w:val="24"/>
        </w:rPr>
        <w:t xml:space="preserve">analysis </w:t>
      </w:r>
      <w:r w:rsidRPr="00836A2F">
        <w:rPr>
          <w:sz w:val="24"/>
          <w:szCs w:val="24"/>
        </w:rPr>
        <w:t>on the participants,  participants from both groups achieved a higher score on the post-test than on the pre-test</w:t>
      </w:r>
      <w:r w:rsidR="008321DA" w:rsidRPr="00836A2F">
        <w:rPr>
          <w:sz w:val="24"/>
          <w:szCs w:val="24"/>
        </w:rPr>
        <w:t>.</w:t>
      </w:r>
      <w:r w:rsidRPr="00836A2F">
        <w:rPr>
          <w:rFonts w:ascii="AdvGulliv-R" w:hAnsi="AdvGulliv-R" w:cs="AdvGulliv-R"/>
          <w:sz w:val="16"/>
          <w:szCs w:val="16"/>
        </w:rPr>
        <w:t xml:space="preserve"> </w:t>
      </w:r>
      <w:r w:rsidRPr="00836A2F">
        <w:rPr>
          <w:rFonts w:cs="AdvGulliv-R"/>
          <w:sz w:val="24"/>
          <w:szCs w:val="24"/>
        </w:rPr>
        <w:t xml:space="preserve">The advantage of </w:t>
      </w:r>
      <w:r w:rsidR="008321DA" w:rsidRPr="00836A2F">
        <w:rPr>
          <w:rFonts w:cs="AdvGulliv-R"/>
          <w:sz w:val="24"/>
          <w:szCs w:val="24"/>
        </w:rPr>
        <w:t xml:space="preserve">using a </w:t>
      </w:r>
      <w:r w:rsidRPr="00836A2F">
        <w:rPr>
          <w:sz w:val="24"/>
          <w:szCs w:val="24"/>
        </w:rPr>
        <w:t xml:space="preserve">pre- and post-test design </w:t>
      </w:r>
      <w:r w:rsidR="008321DA" w:rsidRPr="00836A2F">
        <w:rPr>
          <w:sz w:val="24"/>
          <w:szCs w:val="24"/>
        </w:rPr>
        <w:t>i</w:t>
      </w:r>
      <w:r w:rsidRPr="00836A2F">
        <w:rPr>
          <w:sz w:val="24"/>
          <w:szCs w:val="24"/>
        </w:rPr>
        <w:t>s</w:t>
      </w:r>
      <w:r w:rsidR="008321DA" w:rsidRPr="00836A2F">
        <w:rPr>
          <w:sz w:val="24"/>
          <w:szCs w:val="24"/>
        </w:rPr>
        <w:t xml:space="preserve"> that it</w:t>
      </w:r>
      <w:r w:rsidRPr="00836A2F">
        <w:rPr>
          <w:sz w:val="24"/>
          <w:szCs w:val="24"/>
        </w:rPr>
        <w:t xml:space="preserve"> affords</w:t>
      </w:r>
      <w:r w:rsidR="008321DA" w:rsidRPr="00836A2F">
        <w:rPr>
          <w:sz w:val="24"/>
          <w:szCs w:val="24"/>
        </w:rPr>
        <w:t xml:space="preserve"> the researcher a</w:t>
      </w:r>
      <w:r w:rsidRPr="00836A2F">
        <w:rPr>
          <w:sz w:val="24"/>
          <w:szCs w:val="24"/>
        </w:rPr>
        <w:t xml:space="preserve"> </w:t>
      </w:r>
      <w:r w:rsidR="008321DA" w:rsidRPr="00836A2F">
        <w:rPr>
          <w:sz w:val="24"/>
          <w:szCs w:val="24"/>
        </w:rPr>
        <w:t>method</w:t>
      </w:r>
      <w:r w:rsidRPr="00836A2F">
        <w:rPr>
          <w:sz w:val="24"/>
          <w:szCs w:val="24"/>
        </w:rPr>
        <w:t xml:space="preserve"> to compare</w:t>
      </w:r>
      <w:r w:rsidR="008321DA" w:rsidRPr="00836A2F">
        <w:rPr>
          <w:sz w:val="24"/>
          <w:szCs w:val="24"/>
        </w:rPr>
        <w:t xml:space="preserve"> </w:t>
      </w:r>
      <w:r w:rsidRPr="00836A2F">
        <w:rPr>
          <w:sz w:val="24"/>
          <w:szCs w:val="24"/>
        </w:rPr>
        <w:t xml:space="preserve">participants’ performance before and after using </w:t>
      </w:r>
      <w:r w:rsidR="00072912" w:rsidRPr="00836A2F">
        <w:rPr>
          <w:sz w:val="24"/>
          <w:szCs w:val="24"/>
        </w:rPr>
        <w:t>I</w:t>
      </w:r>
      <w:r w:rsidRPr="00836A2F">
        <w:rPr>
          <w:sz w:val="24"/>
          <w:szCs w:val="24"/>
        </w:rPr>
        <w:t>VT</w:t>
      </w:r>
      <w:r w:rsidR="00072912" w:rsidRPr="00836A2F">
        <w:rPr>
          <w:sz w:val="24"/>
          <w:szCs w:val="24"/>
        </w:rPr>
        <w:t>’s</w:t>
      </w:r>
      <w:r w:rsidR="008321DA" w:rsidRPr="00836A2F">
        <w:rPr>
          <w:sz w:val="24"/>
          <w:szCs w:val="24"/>
        </w:rPr>
        <w:t xml:space="preserve">. </w:t>
      </w:r>
      <w:r w:rsidRPr="00836A2F">
        <w:rPr>
          <w:sz w:val="24"/>
          <w:szCs w:val="24"/>
        </w:rPr>
        <w:t xml:space="preserve"> </w:t>
      </w:r>
      <w:r w:rsidR="008321DA" w:rsidRPr="00836A2F">
        <w:rPr>
          <w:sz w:val="24"/>
          <w:szCs w:val="24"/>
        </w:rPr>
        <w:t>A</w:t>
      </w:r>
      <w:r w:rsidRPr="00836A2F">
        <w:rPr>
          <w:sz w:val="24"/>
          <w:szCs w:val="24"/>
        </w:rPr>
        <w:t xml:space="preserve"> mean increase of 22% was recorded, this result emphasised that</w:t>
      </w:r>
      <w:r w:rsidRPr="00836A2F">
        <w:rPr>
          <w:rFonts w:cs="AdvGulliv-R"/>
          <w:sz w:val="24"/>
          <w:szCs w:val="24"/>
        </w:rPr>
        <w:t xml:space="preserve"> </w:t>
      </w:r>
      <w:r w:rsidRPr="00836A2F">
        <w:rPr>
          <w:sz w:val="24"/>
          <w:szCs w:val="24"/>
        </w:rPr>
        <w:t xml:space="preserve">the overall performance of all participants improved after interacting with </w:t>
      </w:r>
      <w:r w:rsidR="00072912" w:rsidRPr="00836A2F">
        <w:rPr>
          <w:sz w:val="24"/>
          <w:szCs w:val="24"/>
        </w:rPr>
        <w:t>I</w:t>
      </w:r>
      <w:r w:rsidRPr="00836A2F">
        <w:rPr>
          <w:sz w:val="24"/>
          <w:szCs w:val="24"/>
        </w:rPr>
        <w:t xml:space="preserve">VT.  The inference made from statistical analysis was that </w:t>
      </w:r>
      <w:r w:rsidR="00072912" w:rsidRPr="00836A2F">
        <w:rPr>
          <w:sz w:val="24"/>
          <w:szCs w:val="24"/>
        </w:rPr>
        <w:t>I</w:t>
      </w:r>
      <w:r w:rsidRPr="00836A2F">
        <w:rPr>
          <w:sz w:val="24"/>
          <w:szCs w:val="24"/>
        </w:rPr>
        <w:t>VT had a positive effect on all participants.</w:t>
      </w:r>
      <w:r w:rsidR="00493FA9" w:rsidRPr="00836A2F">
        <w:rPr>
          <w:sz w:val="24"/>
          <w:szCs w:val="24"/>
        </w:rPr>
        <w:t xml:space="preserve"> The results indicated that </w:t>
      </w:r>
      <w:r w:rsidR="00600A30" w:rsidRPr="00836A2F">
        <w:rPr>
          <w:sz w:val="24"/>
          <w:szCs w:val="24"/>
        </w:rPr>
        <w:t xml:space="preserve">that </w:t>
      </w:r>
      <w:r w:rsidR="008F5006" w:rsidRPr="00836A2F">
        <w:rPr>
          <w:sz w:val="24"/>
          <w:szCs w:val="24"/>
        </w:rPr>
        <w:t>an</w:t>
      </w:r>
      <w:r w:rsidR="00600A30" w:rsidRPr="00836A2F">
        <w:rPr>
          <w:sz w:val="24"/>
          <w:szCs w:val="24"/>
        </w:rPr>
        <w:t xml:space="preserve"> </w:t>
      </w:r>
      <w:r w:rsidR="00072912" w:rsidRPr="00836A2F">
        <w:rPr>
          <w:sz w:val="24"/>
          <w:szCs w:val="24"/>
        </w:rPr>
        <w:t>I</w:t>
      </w:r>
      <w:r w:rsidR="00600A30" w:rsidRPr="00836A2F">
        <w:rPr>
          <w:sz w:val="24"/>
          <w:szCs w:val="24"/>
        </w:rPr>
        <w:t>VT tool if properly designed, can have positive impacts on improving young children’s exploratory and learning experiences.</w:t>
      </w:r>
      <w:r w:rsidR="00D72910" w:rsidRPr="00836A2F">
        <w:rPr>
          <w:sz w:val="24"/>
          <w:szCs w:val="24"/>
        </w:rPr>
        <w:t xml:space="preserve"> The attitudes of the children was very positive to the use of the </w:t>
      </w:r>
      <w:r w:rsidR="00072912" w:rsidRPr="00836A2F">
        <w:rPr>
          <w:sz w:val="24"/>
          <w:szCs w:val="24"/>
        </w:rPr>
        <w:t>I</w:t>
      </w:r>
      <w:r w:rsidR="00D72910" w:rsidRPr="00836A2F">
        <w:rPr>
          <w:sz w:val="24"/>
          <w:szCs w:val="24"/>
        </w:rPr>
        <w:t>VT tool with a distillation of their comments being</w:t>
      </w:r>
      <w:r w:rsidR="001F3C65" w:rsidRPr="00836A2F">
        <w:rPr>
          <w:sz w:val="24"/>
          <w:szCs w:val="24"/>
        </w:rPr>
        <w:t xml:space="preserve"> that,  “</w:t>
      </w:r>
      <w:r w:rsidR="00D72910" w:rsidRPr="00836A2F">
        <w:rPr>
          <w:sz w:val="24"/>
          <w:szCs w:val="24"/>
        </w:rPr>
        <w:t xml:space="preserve"> </w:t>
      </w:r>
      <w:r w:rsidR="00072912" w:rsidRPr="00836A2F">
        <w:rPr>
          <w:sz w:val="24"/>
          <w:szCs w:val="24"/>
        </w:rPr>
        <w:t>I</w:t>
      </w:r>
      <w:r w:rsidR="001F3C65" w:rsidRPr="00836A2F">
        <w:rPr>
          <w:sz w:val="24"/>
          <w:szCs w:val="24"/>
        </w:rPr>
        <w:t>VT seems to have been able to assist in the exploration and learning of participants with different language skills, psycho-cognitive abilities and challenges, as well as preferences for mathematics”.</w:t>
      </w:r>
    </w:p>
    <w:p w:rsidR="003C33FE" w:rsidRPr="00836A2F" w:rsidRDefault="003C33FE" w:rsidP="00836DB5">
      <w:pPr>
        <w:jc w:val="both"/>
        <w:rPr>
          <w:color w:val="000000"/>
          <w:sz w:val="24"/>
          <w:szCs w:val="24"/>
        </w:rPr>
      </w:pPr>
    </w:p>
    <w:p w:rsidR="003C33FE" w:rsidRPr="00836A2F" w:rsidRDefault="003C33FE" w:rsidP="00836DB5">
      <w:pPr>
        <w:jc w:val="both"/>
        <w:rPr>
          <w:color w:val="000000"/>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176"/>
      </w:tblGrid>
      <w:tr w:rsidR="003C33FE" w:rsidRPr="00836DB5" w:rsidTr="003C33FE">
        <w:trPr>
          <w:tblCellSpacing w:w="0" w:type="dxa"/>
        </w:trPr>
        <w:tc>
          <w:tcPr>
            <w:tcW w:w="5000" w:type="pct"/>
            <w:hideMark/>
          </w:tcPr>
          <w:p w:rsidR="003C33FE" w:rsidRPr="00836A2F" w:rsidRDefault="003C33FE" w:rsidP="003C33FE">
            <w:pPr>
              <w:tabs>
                <w:tab w:val="left" w:pos="6435"/>
              </w:tabs>
              <w:spacing w:after="0" w:line="240" w:lineRule="auto"/>
              <w:rPr>
                <w:b/>
                <w:color w:val="000000"/>
                <w:sz w:val="24"/>
                <w:szCs w:val="24"/>
              </w:rPr>
            </w:pPr>
            <w:r w:rsidRPr="00836A2F">
              <w:rPr>
                <w:b/>
                <w:color w:val="000000"/>
                <w:sz w:val="24"/>
                <w:szCs w:val="24"/>
              </w:rPr>
              <w:t>Reference:</w:t>
            </w:r>
          </w:p>
          <w:p w:rsidR="00FF18A6" w:rsidRPr="00836A2F" w:rsidRDefault="00836A2F" w:rsidP="003C33FE">
            <w:pPr>
              <w:tabs>
                <w:tab w:val="left" w:pos="6435"/>
              </w:tabs>
              <w:spacing w:after="0" w:line="240" w:lineRule="auto"/>
              <w:rPr>
                <w:color w:val="000000"/>
                <w:sz w:val="24"/>
                <w:szCs w:val="24"/>
              </w:rPr>
            </w:pPr>
            <w:r>
              <w:rPr>
                <w:sz w:val="24"/>
                <w:szCs w:val="24"/>
              </w:rPr>
              <w:t>Card, S.  Mackinlay, J, D.</w:t>
            </w:r>
            <w:r w:rsidR="00FF18A6" w:rsidRPr="00836A2F">
              <w:rPr>
                <w:sz w:val="24"/>
                <w:szCs w:val="24"/>
              </w:rPr>
              <w:t xml:space="preserve"> &amp; Shneiderman, B. (1999). Readings in information visualization: Using vision to think. San Francisco, CA: Morgan Kaufman</w:t>
            </w:r>
            <w:r w:rsidR="00FF18A6" w:rsidRPr="00836A2F">
              <w:rPr>
                <w:color w:val="000000"/>
                <w:sz w:val="24"/>
                <w:szCs w:val="24"/>
              </w:rPr>
              <w:t>.</w:t>
            </w:r>
          </w:p>
          <w:p w:rsidR="0030525E" w:rsidRPr="00836A2F" w:rsidRDefault="0030525E" w:rsidP="003C33FE">
            <w:pPr>
              <w:tabs>
                <w:tab w:val="left" w:pos="6435"/>
              </w:tabs>
              <w:spacing w:after="0" w:line="240" w:lineRule="auto"/>
              <w:rPr>
                <w:color w:val="000000"/>
                <w:sz w:val="24"/>
                <w:szCs w:val="24"/>
              </w:rPr>
            </w:pPr>
          </w:p>
          <w:p w:rsidR="0030525E" w:rsidRPr="00836A2F" w:rsidRDefault="00836A2F" w:rsidP="003C33FE">
            <w:pPr>
              <w:tabs>
                <w:tab w:val="left" w:pos="6435"/>
              </w:tabs>
              <w:spacing w:after="0" w:line="240" w:lineRule="auto"/>
              <w:rPr>
                <w:color w:val="000000"/>
                <w:sz w:val="24"/>
                <w:szCs w:val="24"/>
              </w:rPr>
            </w:pPr>
            <w:r w:rsidRPr="00842C83">
              <w:rPr>
                <w:color w:val="000000"/>
                <w:sz w:val="24"/>
                <w:szCs w:val="24"/>
                <w:highlight w:val="yellow"/>
              </w:rPr>
              <w:t>Keller, P. R.  &amp; Keller, M,</w:t>
            </w:r>
            <w:r w:rsidR="0030525E" w:rsidRPr="00842C83">
              <w:rPr>
                <w:color w:val="000000"/>
                <w:sz w:val="24"/>
                <w:szCs w:val="24"/>
                <w:highlight w:val="yellow"/>
              </w:rPr>
              <w:t xml:space="preserve"> M. (1993). Visual cues: </w:t>
            </w:r>
            <w:r w:rsidR="0030525E" w:rsidRPr="00842C83">
              <w:rPr>
                <w:i/>
                <w:color w:val="000000"/>
                <w:sz w:val="24"/>
                <w:szCs w:val="24"/>
                <w:highlight w:val="yellow"/>
              </w:rPr>
              <w:t>Practical data visualization</w:t>
            </w:r>
            <w:r w:rsidR="0030525E" w:rsidRPr="00842C83">
              <w:rPr>
                <w:color w:val="000000"/>
                <w:sz w:val="24"/>
                <w:szCs w:val="24"/>
                <w:highlight w:val="yellow"/>
              </w:rPr>
              <w:t>. Silver Spring, MD: IEEE Computer Society Press.</w:t>
            </w:r>
            <w:bookmarkStart w:id="0" w:name="_GoBack"/>
            <w:bookmarkEnd w:id="0"/>
          </w:p>
          <w:p w:rsidR="00FF18A6" w:rsidRPr="00836A2F" w:rsidRDefault="00FF18A6" w:rsidP="003C33FE">
            <w:pPr>
              <w:tabs>
                <w:tab w:val="left" w:pos="6435"/>
              </w:tabs>
              <w:spacing w:after="0" w:line="240" w:lineRule="auto"/>
              <w:rPr>
                <w:color w:val="000000"/>
                <w:sz w:val="24"/>
                <w:szCs w:val="24"/>
              </w:rPr>
            </w:pPr>
          </w:p>
          <w:p w:rsidR="003C33FE" w:rsidRPr="00836DB5" w:rsidRDefault="003C33FE" w:rsidP="00494779">
            <w:pPr>
              <w:tabs>
                <w:tab w:val="left" w:pos="6435"/>
              </w:tabs>
              <w:spacing w:after="0" w:line="240" w:lineRule="auto"/>
              <w:rPr>
                <w:rFonts w:ascii="Verdana" w:eastAsia="Times New Roman" w:hAnsi="Verdana" w:cs="Times New Roman"/>
                <w:sz w:val="20"/>
                <w:szCs w:val="20"/>
                <w:lang w:eastAsia="en-IE"/>
              </w:rPr>
            </w:pPr>
            <w:r w:rsidRPr="00836A2F">
              <w:rPr>
                <w:rFonts w:ascii="Verdana" w:eastAsia="Times New Roman" w:hAnsi="Verdana" w:cs="Times New Roman"/>
                <w:sz w:val="20"/>
                <w:szCs w:val="20"/>
                <w:shd w:val="clear" w:color="auto" w:fill="FFFFFF"/>
                <w:lang w:eastAsia="en-IE"/>
              </w:rPr>
              <w:t>Liang, H, N</w:t>
            </w:r>
            <w:r w:rsidR="00836A2F">
              <w:rPr>
                <w:rFonts w:ascii="Verdana" w:eastAsia="Times New Roman" w:hAnsi="Verdana" w:cs="Times New Roman"/>
                <w:sz w:val="20"/>
                <w:szCs w:val="20"/>
                <w:shd w:val="clear" w:color="auto" w:fill="FFFFFF"/>
                <w:lang w:eastAsia="en-IE"/>
              </w:rPr>
              <w:t>.</w:t>
            </w:r>
            <w:r w:rsidRPr="00836A2F">
              <w:rPr>
                <w:rFonts w:ascii="Verdana" w:eastAsia="Times New Roman" w:hAnsi="Verdana" w:cs="Times New Roman"/>
                <w:sz w:val="20"/>
                <w:szCs w:val="20"/>
                <w:shd w:val="clear" w:color="auto" w:fill="FFFFFF"/>
                <w:lang w:eastAsia="en-IE"/>
              </w:rPr>
              <w:t xml:space="preserve"> &amp; Sedig</w:t>
            </w:r>
            <w:r w:rsidR="00836A2F">
              <w:rPr>
                <w:rFonts w:ascii="Verdana" w:eastAsia="Times New Roman" w:hAnsi="Verdana" w:cs="Times New Roman"/>
                <w:sz w:val="20"/>
                <w:szCs w:val="20"/>
                <w:shd w:val="clear" w:color="auto" w:fill="FFFFFF"/>
                <w:lang w:eastAsia="en-IE"/>
              </w:rPr>
              <w:t>,</w:t>
            </w:r>
            <w:r w:rsidRPr="00836A2F">
              <w:rPr>
                <w:rFonts w:ascii="Verdana" w:eastAsia="Times New Roman" w:hAnsi="Verdana" w:cs="Times New Roman"/>
                <w:sz w:val="20"/>
                <w:szCs w:val="20"/>
                <w:shd w:val="clear" w:color="auto" w:fill="FFFFFF"/>
                <w:lang w:eastAsia="en-IE"/>
              </w:rPr>
              <w:t xml:space="preserve"> K. (2010).</w:t>
            </w:r>
            <w:r w:rsidRPr="00836A2F">
              <w:rPr>
                <w:rFonts w:ascii="Verdana" w:eastAsia="Times New Roman" w:hAnsi="Verdana" w:cs="Times New Roman"/>
                <w:sz w:val="20"/>
                <w:szCs w:val="20"/>
                <w:lang w:eastAsia="en-IE"/>
              </w:rPr>
              <w:t xml:space="preserve"> </w:t>
            </w:r>
            <w:r w:rsidRPr="00836A2F">
              <w:rPr>
                <w:rFonts w:ascii="Verdana" w:eastAsia="Times New Roman" w:hAnsi="Verdana" w:cs="Times New Roman"/>
                <w:i/>
                <w:sz w:val="20"/>
                <w:szCs w:val="20"/>
                <w:lang w:eastAsia="en-IE"/>
              </w:rPr>
              <w:t>Can interactive visualization tools engage and support pre-university students in exploring non-trivial mathematical concepts?</w:t>
            </w:r>
            <w:r w:rsidR="00494779" w:rsidRPr="00836A2F">
              <w:rPr>
                <w:rFonts w:ascii="Verdana" w:eastAsia="Times New Roman" w:hAnsi="Verdana" w:cs="Times New Roman"/>
                <w:i/>
                <w:sz w:val="20"/>
                <w:szCs w:val="20"/>
                <w:lang w:eastAsia="en-IE"/>
              </w:rPr>
              <w:t xml:space="preserve"> </w:t>
            </w:r>
            <w:r w:rsidR="00494779" w:rsidRPr="00836A2F">
              <w:rPr>
                <w:rFonts w:ascii="Verdana" w:eastAsia="Times New Roman" w:hAnsi="Verdana" w:cs="Times New Roman"/>
                <w:sz w:val="20"/>
                <w:szCs w:val="20"/>
                <w:lang w:eastAsia="en-IE"/>
              </w:rPr>
              <w:t>Journal of Computers &amp; Education</w:t>
            </w:r>
            <w:r w:rsidR="00494779" w:rsidRPr="00836A2F">
              <w:rPr>
                <w:rFonts w:ascii="Verdana" w:eastAsia="Times New Roman" w:hAnsi="Verdana" w:cs="Times New Roman"/>
                <w:i/>
                <w:sz w:val="20"/>
                <w:szCs w:val="20"/>
                <w:shd w:val="clear" w:color="auto" w:fill="FFFFFF"/>
                <w:lang w:eastAsia="en-IE"/>
              </w:rPr>
              <w:t>:</w:t>
            </w:r>
            <w:r w:rsidRPr="00836A2F">
              <w:rPr>
                <w:rFonts w:ascii="Verdana" w:eastAsia="Times New Roman" w:hAnsi="Verdana" w:cs="Times New Roman"/>
                <w:i/>
                <w:sz w:val="20"/>
                <w:szCs w:val="20"/>
                <w:lang w:eastAsia="en-IE"/>
              </w:rPr>
              <w:t xml:space="preserve"> </w:t>
            </w:r>
            <w:r w:rsidRPr="00836A2F">
              <w:rPr>
                <w:rFonts w:ascii="Verdana" w:eastAsia="Times New Roman" w:hAnsi="Verdana" w:cs="Times New Roman"/>
                <w:sz w:val="20"/>
                <w:szCs w:val="20"/>
                <w:lang w:eastAsia="en-IE"/>
              </w:rPr>
              <w:t>Journal Article 54</w:t>
            </w:r>
            <w:r>
              <w:rPr>
                <w:rFonts w:ascii="Verdana" w:eastAsia="Times New Roman" w:hAnsi="Verdana" w:cs="Times New Roman"/>
                <w:sz w:val="20"/>
                <w:szCs w:val="20"/>
                <w:shd w:val="clear" w:color="auto" w:fill="FFFFFF"/>
                <w:lang w:eastAsia="en-IE"/>
              </w:rPr>
              <w:tab/>
            </w:r>
          </w:p>
        </w:tc>
      </w:tr>
      <w:tr w:rsidR="003C33FE" w:rsidRPr="00836DB5" w:rsidTr="003C33FE">
        <w:trPr>
          <w:tblCellSpacing w:w="0" w:type="dxa"/>
        </w:trPr>
        <w:tc>
          <w:tcPr>
            <w:tcW w:w="5000" w:type="pct"/>
            <w:hideMark/>
          </w:tcPr>
          <w:p w:rsidR="003C33FE" w:rsidRPr="00836DB5" w:rsidRDefault="003C33FE" w:rsidP="00527323">
            <w:pPr>
              <w:spacing w:after="0" w:line="240" w:lineRule="auto"/>
              <w:rPr>
                <w:rFonts w:ascii="Verdana" w:eastAsia="Times New Roman" w:hAnsi="Verdana" w:cs="Times New Roman"/>
                <w:sz w:val="20"/>
                <w:szCs w:val="20"/>
                <w:lang w:eastAsia="en-IE"/>
              </w:rPr>
            </w:pPr>
          </w:p>
        </w:tc>
      </w:tr>
      <w:tr w:rsidR="003C33FE" w:rsidRPr="00836DB5" w:rsidTr="003C33FE">
        <w:trPr>
          <w:tblCellSpacing w:w="0" w:type="dxa"/>
        </w:trPr>
        <w:tc>
          <w:tcPr>
            <w:tcW w:w="5000" w:type="pct"/>
            <w:hideMark/>
          </w:tcPr>
          <w:p w:rsidR="003C33FE" w:rsidRPr="00836DB5" w:rsidRDefault="003C33FE" w:rsidP="00527323">
            <w:pPr>
              <w:spacing w:after="0" w:line="240" w:lineRule="auto"/>
              <w:rPr>
                <w:rFonts w:ascii="Verdana" w:eastAsia="Times New Roman" w:hAnsi="Verdana" w:cs="Times New Roman"/>
                <w:sz w:val="20"/>
                <w:szCs w:val="20"/>
                <w:lang w:eastAsia="en-IE"/>
              </w:rPr>
            </w:pPr>
          </w:p>
        </w:tc>
      </w:tr>
      <w:tr w:rsidR="003C33FE" w:rsidRPr="00836DB5" w:rsidTr="003C33FE">
        <w:trPr>
          <w:tblCellSpacing w:w="0" w:type="dxa"/>
        </w:trPr>
        <w:tc>
          <w:tcPr>
            <w:tcW w:w="5000" w:type="pct"/>
            <w:hideMark/>
          </w:tcPr>
          <w:p w:rsidR="003C33FE" w:rsidRPr="00836DB5" w:rsidRDefault="003C33FE" w:rsidP="00527323">
            <w:pPr>
              <w:spacing w:after="0" w:line="240" w:lineRule="auto"/>
              <w:rPr>
                <w:rFonts w:ascii="Verdana" w:eastAsia="Times New Roman" w:hAnsi="Verdana" w:cs="Times New Roman"/>
                <w:sz w:val="20"/>
                <w:szCs w:val="20"/>
                <w:lang w:eastAsia="en-IE"/>
              </w:rPr>
            </w:pPr>
          </w:p>
        </w:tc>
      </w:tr>
      <w:tr w:rsidR="003C33FE" w:rsidRPr="00836DB5" w:rsidTr="003C33FE">
        <w:trPr>
          <w:tblCellSpacing w:w="0" w:type="dxa"/>
        </w:trPr>
        <w:tc>
          <w:tcPr>
            <w:tcW w:w="5000" w:type="pct"/>
          </w:tcPr>
          <w:p w:rsidR="003C33FE" w:rsidRPr="00836DB5" w:rsidRDefault="003C33FE" w:rsidP="00527323">
            <w:pPr>
              <w:spacing w:after="0" w:line="240" w:lineRule="auto"/>
              <w:rPr>
                <w:rFonts w:ascii="Verdana" w:eastAsia="Times New Roman" w:hAnsi="Verdana" w:cs="Times New Roman"/>
                <w:sz w:val="20"/>
                <w:szCs w:val="20"/>
                <w:lang w:eastAsia="en-IE"/>
              </w:rPr>
            </w:pPr>
          </w:p>
        </w:tc>
      </w:tr>
      <w:tr w:rsidR="003C33FE" w:rsidRPr="00836DB5" w:rsidTr="003C33FE">
        <w:trPr>
          <w:tblCellSpacing w:w="0" w:type="dxa"/>
        </w:trPr>
        <w:tc>
          <w:tcPr>
            <w:tcW w:w="5000" w:type="pct"/>
          </w:tcPr>
          <w:p w:rsidR="003C33FE" w:rsidRPr="00836DB5" w:rsidRDefault="003C33FE" w:rsidP="00527323">
            <w:pPr>
              <w:spacing w:after="0" w:line="240" w:lineRule="auto"/>
              <w:rPr>
                <w:rFonts w:ascii="Verdana" w:eastAsia="Times New Roman" w:hAnsi="Verdana" w:cs="Times New Roman"/>
                <w:sz w:val="20"/>
                <w:szCs w:val="20"/>
                <w:lang w:eastAsia="en-IE"/>
              </w:rPr>
            </w:pPr>
          </w:p>
        </w:tc>
      </w:tr>
    </w:tbl>
    <w:p w:rsidR="00836DB5" w:rsidRDefault="00836DB5" w:rsidP="00836DB5">
      <w:pPr>
        <w:jc w:val="both"/>
        <w:rPr>
          <w:color w:val="000000"/>
          <w:sz w:val="24"/>
          <w:szCs w:val="24"/>
        </w:rPr>
      </w:pPr>
    </w:p>
    <w:p w:rsidR="00836DB5" w:rsidRDefault="00836DB5" w:rsidP="00836DB5">
      <w:pPr>
        <w:jc w:val="both"/>
        <w:rPr>
          <w:color w:val="000000"/>
          <w:sz w:val="24"/>
          <w:szCs w:val="24"/>
        </w:rPr>
      </w:pPr>
    </w:p>
    <w:p w:rsidR="00836DB5" w:rsidRDefault="00836DB5" w:rsidP="00836DB5">
      <w:pPr>
        <w:jc w:val="both"/>
        <w:rPr>
          <w:color w:val="000000"/>
          <w:sz w:val="24"/>
          <w:szCs w:val="24"/>
        </w:rPr>
      </w:pPr>
    </w:p>
    <w:p w:rsidR="00836DB5" w:rsidRDefault="00836DB5" w:rsidP="00836DB5">
      <w:pPr>
        <w:jc w:val="both"/>
        <w:rPr>
          <w:color w:val="000000"/>
          <w:sz w:val="24"/>
          <w:szCs w:val="24"/>
        </w:rPr>
      </w:pPr>
    </w:p>
    <w:p w:rsidR="00836DB5" w:rsidRDefault="00836DB5" w:rsidP="00836DB5">
      <w:pPr>
        <w:jc w:val="both"/>
        <w:rPr>
          <w:color w:val="000000"/>
          <w:sz w:val="24"/>
          <w:szCs w:val="24"/>
        </w:rPr>
      </w:pPr>
    </w:p>
    <w:p w:rsidR="00836DB5" w:rsidRDefault="00836DB5" w:rsidP="00836DB5">
      <w:pPr>
        <w:jc w:val="both"/>
        <w:rPr>
          <w:color w:val="000000"/>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6"/>
        <w:gridCol w:w="9020"/>
      </w:tblGrid>
      <w:tr w:rsidR="00836DB5" w:rsidRPr="00836DB5" w:rsidTr="003C33FE">
        <w:trPr>
          <w:tblCellSpacing w:w="0" w:type="dxa"/>
        </w:trPr>
        <w:tc>
          <w:tcPr>
            <w:tcW w:w="0" w:type="auto"/>
            <w:noWrap/>
            <w:vAlign w:val="center"/>
          </w:tcPr>
          <w:p w:rsidR="00836DB5" w:rsidRPr="00836DB5" w:rsidRDefault="002D4A7C" w:rsidP="00836DB5">
            <w:pPr>
              <w:spacing w:after="0" w:line="240" w:lineRule="auto"/>
              <w:rPr>
                <w:rFonts w:ascii="Verdana" w:eastAsia="Times New Roman" w:hAnsi="Verdana" w:cs="Times New Roman"/>
                <w:sz w:val="20"/>
                <w:szCs w:val="20"/>
                <w:lang w:eastAsia="en-IE"/>
              </w:rPr>
            </w:pPr>
            <w:r w:rsidRPr="00836DB5">
              <w:rPr>
                <w:b/>
                <w:color w:val="000000"/>
                <w:sz w:val="24"/>
                <w:szCs w:val="24"/>
              </w:rPr>
              <w:t xml:space="preserve"> </w:t>
            </w:r>
            <w:r w:rsidR="00836DB5">
              <w:rPr>
                <w:b/>
                <w:color w:val="000000"/>
                <w:sz w:val="24"/>
                <w:szCs w:val="24"/>
              </w:rPr>
              <w:t xml:space="preserve"> </w:t>
            </w:r>
          </w:p>
        </w:tc>
        <w:tc>
          <w:tcPr>
            <w:tcW w:w="0" w:type="auto"/>
            <w:vAlign w:val="center"/>
          </w:tcPr>
          <w:p w:rsidR="00836DB5" w:rsidRPr="00836DB5" w:rsidRDefault="00836DB5" w:rsidP="00836DB5">
            <w:pPr>
              <w:spacing w:after="0" w:line="240" w:lineRule="auto"/>
              <w:rPr>
                <w:rFonts w:ascii="Verdana" w:eastAsia="Times New Roman" w:hAnsi="Verdana" w:cs="Times New Roman"/>
                <w:sz w:val="20"/>
                <w:szCs w:val="20"/>
                <w:lang w:eastAsia="en-IE"/>
              </w:rPr>
            </w:pPr>
          </w:p>
        </w:tc>
      </w:tr>
      <w:tr w:rsidR="00836DB5" w:rsidRPr="00836DB5" w:rsidTr="003C33FE">
        <w:trPr>
          <w:tblCellSpacing w:w="0" w:type="dxa"/>
        </w:trPr>
        <w:tc>
          <w:tcPr>
            <w:tcW w:w="0" w:type="auto"/>
          </w:tcPr>
          <w:p w:rsidR="00836DB5" w:rsidRPr="00836DB5" w:rsidRDefault="00836DB5" w:rsidP="00836DB5">
            <w:pPr>
              <w:spacing w:after="0" w:line="240" w:lineRule="auto"/>
              <w:rPr>
                <w:rFonts w:ascii="Verdana" w:eastAsia="Times New Roman" w:hAnsi="Verdana" w:cs="Times New Roman"/>
                <w:sz w:val="20"/>
                <w:szCs w:val="20"/>
                <w:lang w:eastAsia="en-IE"/>
              </w:rPr>
            </w:pPr>
          </w:p>
        </w:tc>
        <w:tc>
          <w:tcPr>
            <w:tcW w:w="0" w:type="auto"/>
            <w:shd w:val="clear" w:color="auto" w:fill="FFFFFF"/>
          </w:tcPr>
          <w:p w:rsidR="00836DB5" w:rsidRPr="00836DB5" w:rsidRDefault="00836DB5" w:rsidP="00836DB5">
            <w:pPr>
              <w:spacing w:after="0" w:line="240" w:lineRule="auto"/>
              <w:rPr>
                <w:rFonts w:ascii="Verdana" w:eastAsia="Times New Roman" w:hAnsi="Verdana" w:cs="Times New Roman"/>
                <w:sz w:val="20"/>
                <w:szCs w:val="20"/>
                <w:lang w:eastAsia="en-IE"/>
              </w:rPr>
            </w:pPr>
          </w:p>
        </w:tc>
      </w:tr>
      <w:tr w:rsidR="00836DB5" w:rsidRPr="00836DB5" w:rsidTr="003C33FE">
        <w:trPr>
          <w:tblCellSpacing w:w="0" w:type="dxa"/>
        </w:trPr>
        <w:tc>
          <w:tcPr>
            <w:tcW w:w="0" w:type="auto"/>
          </w:tcPr>
          <w:p w:rsidR="00836DB5" w:rsidRPr="00836DB5" w:rsidRDefault="00836DB5" w:rsidP="00836DB5">
            <w:pPr>
              <w:spacing w:after="0" w:line="240" w:lineRule="auto"/>
              <w:rPr>
                <w:rFonts w:ascii="Verdana" w:eastAsia="Times New Roman" w:hAnsi="Verdana" w:cs="Times New Roman"/>
                <w:sz w:val="20"/>
                <w:szCs w:val="20"/>
                <w:lang w:eastAsia="en-IE"/>
              </w:rPr>
            </w:pPr>
          </w:p>
        </w:tc>
        <w:tc>
          <w:tcPr>
            <w:tcW w:w="4915" w:type="pct"/>
          </w:tcPr>
          <w:p w:rsidR="00836DB5" w:rsidRPr="00836DB5" w:rsidRDefault="00836DB5" w:rsidP="00836DB5">
            <w:pPr>
              <w:spacing w:after="0" w:line="240" w:lineRule="auto"/>
              <w:rPr>
                <w:rFonts w:ascii="Verdana" w:eastAsia="Times New Roman" w:hAnsi="Verdana" w:cs="Times New Roman"/>
                <w:sz w:val="20"/>
                <w:szCs w:val="20"/>
                <w:lang w:eastAsia="en-IE"/>
              </w:rPr>
            </w:pPr>
          </w:p>
        </w:tc>
      </w:tr>
      <w:tr w:rsidR="00836DB5" w:rsidRPr="00836DB5" w:rsidTr="003C33FE">
        <w:trPr>
          <w:tblCellSpacing w:w="0" w:type="dxa"/>
        </w:trPr>
        <w:tc>
          <w:tcPr>
            <w:tcW w:w="0" w:type="auto"/>
          </w:tcPr>
          <w:p w:rsidR="00836DB5" w:rsidRPr="00836DB5" w:rsidRDefault="00836DB5" w:rsidP="00836DB5">
            <w:pPr>
              <w:spacing w:after="0" w:line="240" w:lineRule="auto"/>
              <w:rPr>
                <w:rFonts w:ascii="Verdana" w:eastAsia="Times New Roman" w:hAnsi="Verdana" w:cs="Times New Roman"/>
                <w:sz w:val="20"/>
                <w:szCs w:val="20"/>
                <w:lang w:eastAsia="en-IE"/>
              </w:rPr>
            </w:pPr>
          </w:p>
        </w:tc>
        <w:tc>
          <w:tcPr>
            <w:tcW w:w="4915" w:type="pct"/>
          </w:tcPr>
          <w:p w:rsidR="00836DB5" w:rsidRPr="00836DB5" w:rsidRDefault="00836DB5" w:rsidP="00836DB5">
            <w:pPr>
              <w:spacing w:after="0" w:line="240" w:lineRule="auto"/>
              <w:rPr>
                <w:rFonts w:ascii="Verdana" w:eastAsia="Times New Roman" w:hAnsi="Verdana" w:cs="Times New Roman"/>
                <w:sz w:val="20"/>
                <w:szCs w:val="20"/>
                <w:lang w:eastAsia="en-IE"/>
              </w:rPr>
            </w:pPr>
          </w:p>
        </w:tc>
      </w:tr>
      <w:tr w:rsidR="00836DB5" w:rsidRPr="00836DB5" w:rsidTr="003C33FE">
        <w:trPr>
          <w:tblCellSpacing w:w="0" w:type="dxa"/>
        </w:trPr>
        <w:tc>
          <w:tcPr>
            <w:tcW w:w="0" w:type="auto"/>
          </w:tcPr>
          <w:p w:rsidR="00836DB5" w:rsidRPr="00836DB5" w:rsidRDefault="00836DB5" w:rsidP="00836DB5">
            <w:pPr>
              <w:spacing w:after="0" w:line="240" w:lineRule="auto"/>
              <w:rPr>
                <w:rFonts w:ascii="Verdana" w:eastAsia="Times New Roman" w:hAnsi="Verdana" w:cs="Times New Roman"/>
                <w:sz w:val="20"/>
                <w:szCs w:val="20"/>
                <w:lang w:eastAsia="en-IE"/>
              </w:rPr>
            </w:pPr>
          </w:p>
        </w:tc>
        <w:tc>
          <w:tcPr>
            <w:tcW w:w="4915" w:type="pct"/>
          </w:tcPr>
          <w:p w:rsidR="00836DB5" w:rsidRPr="00836DB5" w:rsidRDefault="00836DB5" w:rsidP="00836DB5">
            <w:pPr>
              <w:spacing w:after="0" w:line="240" w:lineRule="auto"/>
              <w:rPr>
                <w:rFonts w:ascii="Verdana" w:eastAsia="Times New Roman" w:hAnsi="Verdana" w:cs="Times New Roman"/>
                <w:sz w:val="20"/>
                <w:szCs w:val="20"/>
                <w:lang w:eastAsia="en-IE"/>
              </w:rPr>
            </w:pPr>
          </w:p>
        </w:tc>
      </w:tr>
      <w:tr w:rsidR="00836DB5" w:rsidRPr="00836DB5" w:rsidTr="003C33FE">
        <w:trPr>
          <w:tblCellSpacing w:w="0" w:type="dxa"/>
        </w:trPr>
        <w:tc>
          <w:tcPr>
            <w:tcW w:w="0" w:type="auto"/>
          </w:tcPr>
          <w:p w:rsidR="00836DB5" w:rsidRPr="00836DB5" w:rsidRDefault="00836DB5" w:rsidP="00836DB5">
            <w:pPr>
              <w:spacing w:after="0" w:line="240" w:lineRule="auto"/>
              <w:rPr>
                <w:rFonts w:ascii="Verdana" w:eastAsia="Times New Roman" w:hAnsi="Verdana" w:cs="Times New Roman"/>
                <w:sz w:val="20"/>
                <w:szCs w:val="20"/>
                <w:lang w:eastAsia="en-IE"/>
              </w:rPr>
            </w:pPr>
          </w:p>
        </w:tc>
        <w:tc>
          <w:tcPr>
            <w:tcW w:w="4915" w:type="pct"/>
          </w:tcPr>
          <w:p w:rsidR="00836DB5" w:rsidRPr="00836DB5" w:rsidRDefault="00836DB5" w:rsidP="00836DB5">
            <w:pPr>
              <w:spacing w:after="0" w:line="240" w:lineRule="auto"/>
              <w:rPr>
                <w:rFonts w:ascii="Verdana" w:eastAsia="Times New Roman" w:hAnsi="Verdana" w:cs="Times New Roman"/>
                <w:sz w:val="20"/>
                <w:szCs w:val="20"/>
                <w:lang w:eastAsia="en-IE"/>
              </w:rPr>
            </w:pPr>
          </w:p>
        </w:tc>
      </w:tr>
      <w:tr w:rsidR="00836DB5" w:rsidRPr="00836DB5" w:rsidTr="003C33FE">
        <w:trPr>
          <w:tblCellSpacing w:w="0" w:type="dxa"/>
        </w:trPr>
        <w:tc>
          <w:tcPr>
            <w:tcW w:w="0" w:type="auto"/>
          </w:tcPr>
          <w:p w:rsidR="00836DB5" w:rsidRPr="00836DB5" w:rsidRDefault="00836DB5" w:rsidP="00836DB5">
            <w:pPr>
              <w:spacing w:after="0" w:line="240" w:lineRule="auto"/>
              <w:rPr>
                <w:rFonts w:ascii="Verdana" w:eastAsia="Times New Roman" w:hAnsi="Verdana" w:cs="Times New Roman"/>
                <w:sz w:val="20"/>
                <w:szCs w:val="20"/>
                <w:lang w:eastAsia="en-IE"/>
              </w:rPr>
            </w:pPr>
          </w:p>
        </w:tc>
        <w:tc>
          <w:tcPr>
            <w:tcW w:w="4915" w:type="pct"/>
          </w:tcPr>
          <w:p w:rsidR="00836DB5" w:rsidRPr="00836DB5" w:rsidRDefault="00836DB5" w:rsidP="00836DB5">
            <w:pPr>
              <w:spacing w:after="0" w:line="240" w:lineRule="auto"/>
              <w:rPr>
                <w:rFonts w:ascii="Verdana" w:eastAsia="Times New Roman" w:hAnsi="Verdana" w:cs="Times New Roman"/>
                <w:sz w:val="20"/>
                <w:szCs w:val="20"/>
                <w:lang w:eastAsia="en-IE"/>
              </w:rPr>
            </w:pPr>
          </w:p>
        </w:tc>
      </w:tr>
      <w:tr w:rsidR="00836DB5" w:rsidRPr="00836DB5" w:rsidTr="003C33FE">
        <w:trPr>
          <w:tblCellSpacing w:w="0" w:type="dxa"/>
        </w:trPr>
        <w:tc>
          <w:tcPr>
            <w:tcW w:w="0" w:type="auto"/>
          </w:tcPr>
          <w:p w:rsidR="00836DB5" w:rsidRPr="00836DB5" w:rsidRDefault="00836DB5" w:rsidP="00836DB5">
            <w:pPr>
              <w:spacing w:after="0" w:line="240" w:lineRule="auto"/>
              <w:rPr>
                <w:rFonts w:ascii="Verdana" w:eastAsia="Times New Roman" w:hAnsi="Verdana" w:cs="Times New Roman"/>
                <w:sz w:val="20"/>
                <w:szCs w:val="20"/>
                <w:lang w:eastAsia="en-IE"/>
              </w:rPr>
            </w:pPr>
          </w:p>
        </w:tc>
        <w:tc>
          <w:tcPr>
            <w:tcW w:w="4915" w:type="pct"/>
          </w:tcPr>
          <w:p w:rsidR="00836DB5" w:rsidRPr="00836DB5" w:rsidRDefault="00836DB5" w:rsidP="00836DB5">
            <w:pPr>
              <w:spacing w:after="0" w:line="240" w:lineRule="auto"/>
              <w:rPr>
                <w:rFonts w:ascii="Verdana" w:eastAsia="Times New Roman" w:hAnsi="Verdana" w:cs="Times New Roman"/>
                <w:sz w:val="20"/>
                <w:szCs w:val="20"/>
                <w:lang w:eastAsia="en-IE"/>
              </w:rPr>
            </w:pPr>
          </w:p>
        </w:tc>
      </w:tr>
    </w:tbl>
    <w:p w:rsidR="00836DB5" w:rsidRPr="00836DB5" w:rsidRDefault="00836DB5" w:rsidP="00836DB5">
      <w:pPr>
        <w:jc w:val="both"/>
        <w:rPr>
          <w:sz w:val="24"/>
          <w:szCs w:val="24"/>
        </w:rPr>
      </w:pPr>
    </w:p>
    <w:sectPr w:rsidR="00836DB5" w:rsidRPr="00836DB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8E" w:rsidRDefault="0069548E" w:rsidP="001F3C65">
      <w:pPr>
        <w:spacing w:after="0" w:line="240" w:lineRule="auto"/>
      </w:pPr>
      <w:r>
        <w:separator/>
      </w:r>
    </w:p>
  </w:endnote>
  <w:endnote w:type="continuationSeparator" w:id="0">
    <w:p w:rsidR="0069548E" w:rsidRDefault="0069548E" w:rsidP="001F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Gulliv-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390420"/>
      <w:docPartObj>
        <w:docPartGallery w:val="Page Numbers (Bottom of Page)"/>
        <w:docPartUnique/>
      </w:docPartObj>
    </w:sdtPr>
    <w:sdtEndPr>
      <w:rPr>
        <w:noProof/>
      </w:rPr>
    </w:sdtEndPr>
    <w:sdtContent>
      <w:p w:rsidR="001F3C65" w:rsidRDefault="001F3C65">
        <w:pPr>
          <w:pStyle w:val="Footer"/>
        </w:pPr>
        <w:r>
          <w:fldChar w:fldCharType="begin"/>
        </w:r>
        <w:r>
          <w:instrText xml:space="preserve"> PAGE   \* MERGEFORMAT </w:instrText>
        </w:r>
        <w:r>
          <w:fldChar w:fldCharType="separate"/>
        </w:r>
        <w:r w:rsidR="00842C83">
          <w:rPr>
            <w:noProof/>
          </w:rPr>
          <w:t>3</w:t>
        </w:r>
        <w:r>
          <w:rPr>
            <w:noProof/>
          </w:rPr>
          <w:fldChar w:fldCharType="end"/>
        </w:r>
      </w:p>
    </w:sdtContent>
  </w:sdt>
  <w:p w:rsidR="001F3C65" w:rsidRDefault="001F3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8E" w:rsidRDefault="0069548E" w:rsidP="001F3C65">
      <w:pPr>
        <w:spacing w:after="0" w:line="240" w:lineRule="auto"/>
      </w:pPr>
      <w:r>
        <w:separator/>
      </w:r>
    </w:p>
  </w:footnote>
  <w:footnote w:type="continuationSeparator" w:id="0">
    <w:p w:rsidR="0069548E" w:rsidRDefault="0069548E" w:rsidP="001F3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C4"/>
    <w:rsid w:val="000177EB"/>
    <w:rsid w:val="00026FE4"/>
    <w:rsid w:val="00072912"/>
    <w:rsid w:val="00095C50"/>
    <w:rsid w:val="000F5F7D"/>
    <w:rsid w:val="001140B8"/>
    <w:rsid w:val="001A3B03"/>
    <w:rsid w:val="001E705C"/>
    <w:rsid w:val="001F3C65"/>
    <w:rsid w:val="001F6121"/>
    <w:rsid w:val="00255762"/>
    <w:rsid w:val="002D4A7C"/>
    <w:rsid w:val="00301EBC"/>
    <w:rsid w:val="00304F6C"/>
    <w:rsid w:val="0030525E"/>
    <w:rsid w:val="00391E96"/>
    <w:rsid w:val="003C33FE"/>
    <w:rsid w:val="003C3679"/>
    <w:rsid w:val="00434E17"/>
    <w:rsid w:val="00493FA9"/>
    <w:rsid w:val="00494779"/>
    <w:rsid w:val="004B037E"/>
    <w:rsid w:val="00582021"/>
    <w:rsid w:val="00600A30"/>
    <w:rsid w:val="0069548E"/>
    <w:rsid w:val="00710541"/>
    <w:rsid w:val="00750BDB"/>
    <w:rsid w:val="00822E80"/>
    <w:rsid w:val="008321DA"/>
    <w:rsid w:val="00836A2F"/>
    <w:rsid w:val="00836DB5"/>
    <w:rsid w:val="00842C83"/>
    <w:rsid w:val="00862A57"/>
    <w:rsid w:val="008F0C3F"/>
    <w:rsid w:val="008F5006"/>
    <w:rsid w:val="00914EEE"/>
    <w:rsid w:val="009361C0"/>
    <w:rsid w:val="00993271"/>
    <w:rsid w:val="009B3EF8"/>
    <w:rsid w:val="00A36E02"/>
    <w:rsid w:val="00B1252A"/>
    <w:rsid w:val="00B95EC4"/>
    <w:rsid w:val="00C40214"/>
    <w:rsid w:val="00CA4233"/>
    <w:rsid w:val="00CF0C13"/>
    <w:rsid w:val="00D50E0A"/>
    <w:rsid w:val="00D72910"/>
    <w:rsid w:val="00DD2B96"/>
    <w:rsid w:val="00DE3557"/>
    <w:rsid w:val="00E66B38"/>
    <w:rsid w:val="00E748DB"/>
    <w:rsid w:val="00EF5CDF"/>
    <w:rsid w:val="00FF18A6"/>
    <w:rsid w:val="00FF32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EC4"/>
    <w:rPr>
      <w:sz w:val="16"/>
      <w:szCs w:val="16"/>
    </w:rPr>
  </w:style>
  <w:style w:type="paragraph" w:styleId="CommentText">
    <w:name w:val="annotation text"/>
    <w:basedOn w:val="Normal"/>
    <w:link w:val="CommentTextChar"/>
    <w:uiPriority w:val="99"/>
    <w:semiHidden/>
    <w:unhideWhenUsed/>
    <w:rsid w:val="00B95EC4"/>
    <w:pPr>
      <w:spacing w:line="240" w:lineRule="auto"/>
    </w:pPr>
    <w:rPr>
      <w:sz w:val="20"/>
      <w:szCs w:val="20"/>
    </w:rPr>
  </w:style>
  <w:style w:type="character" w:customStyle="1" w:styleId="CommentTextChar">
    <w:name w:val="Comment Text Char"/>
    <w:basedOn w:val="DefaultParagraphFont"/>
    <w:link w:val="CommentText"/>
    <w:uiPriority w:val="99"/>
    <w:semiHidden/>
    <w:rsid w:val="00B95EC4"/>
    <w:rPr>
      <w:sz w:val="20"/>
      <w:szCs w:val="20"/>
    </w:rPr>
  </w:style>
  <w:style w:type="paragraph" w:styleId="CommentSubject">
    <w:name w:val="annotation subject"/>
    <w:basedOn w:val="CommentText"/>
    <w:next w:val="CommentText"/>
    <w:link w:val="CommentSubjectChar"/>
    <w:uiPriority w:val="99"/>
    <w:semiHidden/>
    <w:unhideWhenUsed/>
    <w:rsid w:val="00B95EC4"/>
    <w:rPr>
      <w:b/>
      <w:bCs/>
    </w:rPr>
  </w:style>
  <w:style w:type="character" w:customStyle="1" w:styleId="CommentSubjectChar">
    <w:name w:val="Comment Subject Char"/>
    <w:basedOn w:val="CommentTextChar"/>
    <w:link w:val="CommentSubject"/>
    <w:uiPriority w:val="99"/>
    <w:semiHidden/>
    <w:rsid w:val="00B95EC4"/>
    <w:rPr>
      <w:b/>
      <w:bCs/>
      <w:sz w:val="20"/>
      <w:szCs w:val="20"/>
    </w:rPr>
  </w:style>
  <w:style w:type="paragraph" w:styleId="BalloonText">
    <w:name w:val="Balloon Text"/>
    <w:basedOn w:val="Normal"/>
    <w:link w:val="BalloonTextChar"/>
    <w:uiPriority w:val="99"/>
    <w:semiHidden/>
    <w:unhideWhenUsed/>
    <w:rsid w:val="00B95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C4"/>
    <w:rPr>
      <w:rFonts w:ascii="Tahoma" w:hAnsi="Tahoma" w:cs="Tahoma"/>
      <w:sz w:val="16"/>
      <w:szCs w:val="16"/>
    </w:rPr>
  </w:style>
  <w:style w:type="paragraph" w:styleId="Header">
    <w:name w:val="header"/>
    <w:basedOn w:val="Normal"/>
    <w:link w:val="HeaderChar"/>
    <w:uiPriority w:val="99"/>
    <w:unhideWhenUsed/>
    <w:rsid w:val="001F3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65"/>
  </w:style>
  <w:style w:type="paragraph" w:styleId="Footer">
    <w:name w:val="footer"/>
    <w:basedOn w:val="Normal"/>
    <w:link w:val="FooterChar"/>
    <w:uiPriority w:val="99"/>
    <w:unhideWhenUsed/>
    <w:rsid w:val="001F3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EC4"/>
    <w:rPr>
      <w:sz w:val="16"/>
      <w:szCs w:val="16"/>
    </w:rPr>
  </w:style>
  <w:style w:type="paragraph" w:styleId="CommentText">
    <w:name w:val="annotation text"/>
    <w:basedOn w:val="Normal"/>
    <w:link w:val="CommentTextChar"/>
    <w:uiPriority w:val="99"/>
    <w:semiHidden/>
    <w:unhideWhenUsed/>
    <w:rsid w:val="00B95EC4"/>
    <w:pPr>
      <w:spacing w:line="240" w:lineRule="auto"/>
    </w:pPr>
    <w:rPr>
      <w:sz w:val="20"/>
      <w:szCs w:val="20"/>
    </w:rPr>
  </w:style>
  <w:style w:type="character" w:customStyle="1" w:styleId="CommentTextChar">
    <w:name w:val="Comment Text Char"/>
    <w:basedOn w:val="DefaultParagraphFont"/>
    <w:link w:val="CommentText"/>
    <w:uiPriority w:val="99"/>
    <w:semiHidden/>
    <w:rsid w:val="00B95EC4"/>
    <w:rPr>
      <w:sz w:val="20"/>
      <w:szCs w:val="20"/>
    </w:rPr>
  </w:style>
  <w:style w:type="paragraph" w:styleId="CommentSubject">
    <w:name w:val="annotation subject"/>
    <w:basedOn w:val="CommentText"/>
    <w:next w:val="CommentText"/>
    <w:link w:val="CommentSubjectChar"/>
    <w:uiPriority w:val="99"/>
    <w:semiHidden/>
    <w:unhideWhenUsed/>
    <w:rsid w:val="00B95EC4"/>
    <w:rPr>
      <w:b/>
      <w:bCs/>
    </w:rPr>
  </w:style>
  <w:style w:type="character" w:customStyle="1" w:styleId="CommentSubjectChar">
    <w:name w:val="Comment Subject Char"/>
    <w:basedOn w:val="CommentTextChar"/>
    <w:link w:val="CommentSubject"/>
    <w:uiPriority w:val="99"/>
    <w:semiHidden/>
    <w:rsid w:val="00B95EC4"/>
    <w:rPr>
      <w:b/>
      <w:bCs/>
      <w:sz w:val="20"/>
      <w:szCs w:val="20"/>
    </w:rPr>
  </w:style>
  <w:style w:type="paragraph" w:styleId="BalloonText">
    <w:name w:val="Balloon Text"/>
    <w:basedOn w:val="Normal"/>
    <w:link w:val="BalloonTextChar"/>
    <w:uiPriority w:val="99"/>
    <w:semiHidden/>
    <w:unhideWhenUsed/>
    <w:rsid w:val="00B95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C4"/>
    <w:rPr>
      <w:rFonts w:ascii="Tahoma" w:hAnsi="Tahoma" w:cs="Tahoma"/>
      <w:sz w:val="16"/>
      <w:szCs w:val="16"/>
    </w:rPr>
  </w:style>
  <w:style w:type="paragraph" w:styleId="Header">
    <w:name w:val="header"/>
    <w:basedOn w:val="Normal"/>
    <w:link w:val="HeaderChar"/>
    <w:uiPriority w:val="99"/>
    <w:unhideWhenUsed/>
    <w:rsid w:val="001F3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65"/>
  </w:style>
  <w:style w:type="paragraph" w:styleId="Footer">
    <w:name w:val="footer"/>
    <w:basedOn w:val="Normal"/>
    <w:link w:val="FooterChar"/>
    <w:uiPriority w:val="99"/>
    <w:unhideWhenUsed/>
    <w:rsid w:val="001F3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055">
      <w:bodyDiv w:val="1"/>
      <w:marLeft w:val="0"/>
      <w:marRight w:val="0"/>
      <w:marTop w:val="0"/>
      <w:marBottom w:val="0"/>
      <w:divBdr>
        <w:top w:val="none" w:sz="0" w:space="0" w:color="auto"/>
        <w:left w:val="none" w:sz="0" w:space="0" w:color="auto"/>
        <w:bottom w:val="none" w:sz="0" w:space="0" w:color="auto"/>
        <w:right w:val="none" w:sz="0" w:space="0" w:color="auto"/>
      </w:divBdr>
      <w:divsChild>
        <w:div w:id="2045713494">
          <w:marLeft w:val="0"/>
          <w:marRight w:val="0"/>
          <w:marTop w:val="0"/>
          <w:marBottom w:val="0"/>
          <w:divBdr>
            <w:top w:val="none" w:sz="0" w:space="0" w:color="auto"/>
            <w:left w:val="none" w:sz="0" w:space="0" w:color="auto"/>
            <w:bottom w:val="none" w:sz="0" w:space="0" w:color="auto"/>
            <w:right w:val="none" w:sz="0" w:space="0" w:color="auto"/>
          </w:divBdr>
        </w:div>
        <w:div w:id="322242674">
          <w:marLeft w:val="0"/>
          <w:marRight w:val="0"/>
          <w:marTop w:val="0"/>
          <w:marBottom w:val="0"/>
          <w:divBdr>
            <w:top w:val="none" w:sz="0" w:space="0" w:color="auto"/>
            <w:left w:val="none" w:sz="0" w:space="0" w:color="auto"/>
            <w:bottom w:val="none" w:sz="0" w:space="0" w:color="auto"/>
            <w:right w:val="none" w:sz="0" w:space="0" w:color="auto"/>
          </w:divBdr>
        </w:div>
        <w:div w:id="277882363">
          <w:marLeft w:val="0"/>
          <w:marRight w:val="0"/>
          <w:marTop w:val="0"/>
          <w:marBottom w:val="0"/>
          <w:divBdr>
            <w:top w:val="none" w:sz="0" w:space="0" w:color="auto"/>
            <w:left w:val="none" w:sz="0" w:space="0" w:color="auto"/>
            <w:bottom w:val="none" w:sz="0" w:space="0" w:color="auto"/>
            <w:right w:val="none" w:sz="0" w:space="0" w:color="auto"/>
          </w:divBdr>
        </w:div>
        <w:div w:id="572083171">
          <w:marLeft w:val="0"/>
          <w:marRight w:val="0"/>
          <w:marTop w:val="0"/>
          <w:marBottom w:val="0"/>
          <w:divBdr>
            <w:top w:val="none" w:sz="0" w:space="0" w:color="auto"/>
            <w:left w:val="none" w:sz="0" w:space="0" w:color="auto"/>
            <w:bottom w:val="none" w:sz="0" w:space="0" w:color="auto"/>
            <w:right w:val="none" w:sz="0" w:space="0" w:color="auto"/>
          </w:divBdr>
        </w:div>
        <w:div w:id="1545486874">
          <w:marLeft w:val="0"/>
          <w:marRight w:val="0"/>
          <w:marTop w:val="0"/>
          <w:marBottom w:val="0"/>
          <w:divBdr>
            <w:top w:val="none" w:sz="0" w:space="0" w:color="auto"/>
            <w:left w:val="none" w:sz="0" w:space="0" w:color="auto"/>
            <w:bottom w:val="none" w:sz="0" w:space="0" w:color="auto"/>
            <w:right w:val="none" w:sz="0" w:space="0" w:color="auto"/>
          </w:divBdr>
        </w:div>
        <w:div w:id="176430726">
          <w:marLeft w:val="0"/>
          <w:marRight w:val="0"/>
          <w:marTop w:val="0"/>
          <w:marBottom w:val="0"/>
          <w:divBdr>
            <w:top w:val="none" w:sz="0" w:space="0" w:color="auto"/>
            <w:left w:val="none" w:sz="0" w:space="0" w:color="auto"/>
            <w:bottom w:val="none" w:sz="0" w:space="0" w:color="auto"/>
            <w:right w:val="none" w:sz="0" w:space="0" w:color="auto"/>
          </w:divBdr>
        </w:div>
        <w:div w:id="14447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1665</TotalTime>
  <Pages>4</Pages>
  <Words>983</Words>
  <Characters>5575</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Maguire</dc:creator>
  <cp:lastModifiedBy>Mark Maguire</cp:lastModifiedBy>
  <cp:revision>27</cp:revision>
  <dcterms:created xsi:type="dcterms:W3CDTF">2012-12-01T16:16:00Z</dcterms:created>
  <dcterms:modified xsi:type="dcterms:W3CDTF">2015-07-12T01:33:00Z</dcterms:modified>
</cp:coreProperties>
</file>